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文件编号：WI-QC-004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不合格品评审作业指导书</w:t>
      </w:r>
    </w:p>
    <w:p/>
    <w:p>
      <w:pPr>
        <w:pStyle w:val="Heading1"/>
      </w:pPr>
      <w:r>
        <w:t>1. 目的</w:t>
      </w:r>
    </w:p>
    <w:p>
      <w:r>
        <w:t>规范不合格品评审流程。</w:t>
      </w:r>
    </w:p>
    <w:p/>
    <w:p>
      <w:pPr>
        <w:pStyle w:val="Heading1"/>
      </w:pPr>
      <w:r>
        <w:t>2. 范围</w:t>
      </w:r>
    </w:p>
    <w:p>
      <w:r>
        <w:t>适用于所有不合格品的评审。</w:t>
      </w:r>
    </w:p>
    <w:p/>
    <w:p>
      <w:pPr>
        <w:pStyle w:val="Heading1"/>
      </w:pPr>
      <w:r>
        <w:t>3. 评审组织</w:t>
      </w:r>
    </w:p>
    <w:p>
      <w:pPr>
        <w:pStyle w:val="ListBullet"/>
      </w:pPr>
      <w:r>
        <w:t>一般不合格：质量部组织</w:t>
      </w:r>
    </w:p>
    <w:p>
      <w:pPr>
        <w:pStyle w:val="ListBullet"/>
      </w:pPr>
      <w:r>
        <w:t>重大不合格：多部门联合会审</w:t>
      </w:r>
    </w:p>
    <w:p/>
    <w:p>
      <w:pPr>
        <w:pStyle w:val="Heading1"/>
      </w:pPr>
      <w:r>
        <w:t>4. 评审内容</w:t>
      </w:r>
    </w:p>
    <w:p>
      <w:pPr>
        <w:pStyle w:val="ListBullet"/>
      </w:pPr>
      <w:r>
        <w:t>不合格的性质和严重程度</w:t>
      </w:r>
    </w:p>
    <w:p>
      <w:pPr>
        <w:pStyle w:val="ListBullet"/>
      </w:pPr>
      <w:r>
        <w:t>对产品质量的影响</w:t>
      </w:r>
    </w:p>
    <w:p>
      <w:pPr>
        <w:pStyle w:val="ListBullet"/>
      </w:pPr>
      <w:r>
        <w:t>对交付的影响</w:t>
      </w:r>
    </w:p>
    <w:p>
      <w:pPr>
        <w:pStyle w:val="ListBullet"/>
      </w:pPr>
      <w:r>
        <w:t>处置方式建议</w:t>
      </w:r>
    </w:p>
    <w:p/>
    <w:p>
      <w:pPr>
        <w:pStyle w:val="Heading1"/>
      </w:pPr>
      <w:r>
        <w:t>5. 处置方式</w:t>
      </w:r>
    </w:p>
    <w:p>
      <w:pPr>
        <w:pStyle w:val="ListBullet"/>
      </w:pPr>
      <w:r>
        <w:t>返工：修复至合格</w:t>
      </w:r>
    </w:p>
    <w:p>
      <w:pPr>
        <w:pStyle w:val="ListBullet"/>
      </w:pPr>
      <w:r>
        <w:t>返修：满足使用要求</w:t>
      </w:r>
    </w:p>
    <w:p>
      <w:pPr>
        <w:pStyle w:val="ListBullet"/>
      </w:pPr>
      <w:r>
        <w:t>让步接收：经批准使用</w:t>
      </w:r>
    </w:p>
    <w:p>
      <w:pPr>
        <w:pStyle w:val="ListBullet"/>
      </w:pPr>
      <w:r>
        <w:t>降级使用</w:t>
      </w:r>
    </w:p>
    <w:p>
      <w:pPr>
        <w:pStyle w:val="ListBullet"/>
      </w:pPr>
      <w:r>
        <w:t>报废</w:t>
      </w:r>
    </w:p>
    <w:p/>
    <w:p>
      <w:pPr>
        <w:pStyle w:val="Heading1"/>
      </w:pPr>
      <w:r>
        <w:t>6. 记录</w:t>
      </w:r>
    </w:p>
    <w:p>
      <w:r>
        <w:t>填写《不合格品评审单》（FM-027）。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